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 w:cstheme="majorEastAsia"/>
          <w:color w:val="FF0000"/>
          <w:sz w:val="36"/>
          <w:szCs w:val="36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FF0000"/>
          <w:sz w:val="36"/>
          <w:szCs w:val="36"/>
          <w:lang w:val="en-US" w:eastAsia="zh-CN"/>
        </w:rPr>
        <w:t>OXAC-608产品说明书</w:t>
      </w:r>
    </w:p>
    <w:p>
      <w:pP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FF0000"/>
          <w:sz w:val="28"/>
          <w:szCs w:val="28"/>
          <w:lang w:val="en-US" w:eastAsia="zh-CN"/>
        </w:rPr>
        <w:t>产品化学名称：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烷撑烯基聚氧乙烯醚</w:t>
      </w:r>
    </w:p>
    <w:p>
      <w:pPr>
        <w:rPr>
          <w:rFonts w:hint="eastAsia" w:hAnsi="宋体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FF0000"/>
          <w:sz w:val="28"/>
          <w:szCs w:val="28"/>
          <w:lang w:val="en-US" w:eastAsia="zh-CN"/>
        </w:rPr>
        <w:t>产品应用：</w:t>
      </w:r>
      <w:r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  <w:lang w:val="en-US" w:eastAsia="zh-CN" w:bidi="ar-SA"/>
        </w:rPr>
        <w:t>OXAC</w:t>
      </w:r>
      <w:bookmarkStart w:id="0" w:name="_GoBack"/>
      <w:bookmarkEnd w:id="0"/>
      <w:r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  <w:lang w:val="en-US" w:eastAsia="zh-CN" w:bidi="ar-SA"/>
        </w:rPr>
        <w:t>-608</w:t>
      </w:r>
      <w:r>
        <w:rPr>
          <w:rFonts w:ascii="宋体" w:hAnsi="宋体" w:eastAsia="宋体" w:cs="宋体"/>
          <w:sz w:val="24"/>
          <w:szCs w:val="24"/>
        </w:rPr>
        <w:t>是</w:t>
      </w:r>
      <w:r>
        <w:rPr>
          <w:rFonts w:hint="eastAsia" w:hAnsi="宋体"/>
          <w:sz w:val="28"/>
          <w:szCs w:val="28"/>
          <w:lang w:val="en-US" w:eastAsia="zh-CN"/>
        </w:rPr>
        <w:t>在分子水平上创新设计的一种新型聚羧酸减水剂专用聚醚单体</w:t>
      </w:r>
      <w:r>
        <w:rPr>
          <w:rFonts w:hint="eastAsia"/>
          <w:sz w:val="28"/>
          <w:szCs w:val="28"/>
          <w:lang w:val="en-US" w:eastAsia="zh-CN"/>
        </w:rPr>
        <w:t>。</w:t>
      </w:r>
      <w:r>
        <w:rPr>
          <w:rFonts w:hint="eastAsia" w:hAnsi="宋体"/>
          <w:sz w:val="28"/>
          <w:szCs w:val="28"/>
          <w:lang w:val="en-US" w:eastAsia="zh-CN"/>
        </w:rPr>
        <w:t>本产品适用于合成对减水率有更高要求的减水剂产品，使用方便、性价比高、片状外观、水溶性好、水溶液稳定，可配制成水剂产品销售，使用更方便。</w:t>
      </w:r>
    </w:p>
    <w:p>
      <w:pPr>
        <w:rPr>
          <w:rFonts w:ascii="Times New Roman" w:hAnsi="Times New Roman" w:eastAsia="宋体" w:cs="Times New Roman"/>
          <w:color w:val="333333"/>
          <w:kern w:val="0"/>
          <w:sz w:val="28"/>
          <w:szCs w:val="28"/>
        </w:rPr>
      </w:pPr>
      <w:r>
        <w:rPr>
          <w:rFonts w:ascii="Times New Roman" w:hAnsi="宋体" w:eastAsia="宋体" w:cs="Times New Roman"/>
          <w:b/>
          <w:bCs w:val="0"/>
          <w:color w:val="FF0000"/>
          <w:kern w:val="0"/>
          <w:sz w:val="28"/>
          <w:szCs w:val="28"/>
        </w:rPr>
        <w:t>质量指标：</w:t>
      </w:r>
    </w:p>
    <w:tbl>
      <w:tblPr>
        <w:tblStyle w:val="3"/>
        <w:tblW w:w="8535" w:type="dxa"/>
        <w:tblInd w:w="-123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97"/>
        <w:gridCol w:w="2340"/>
        <w:gridCol w:w="3198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299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ind w:firstLine="984" w:firstLineChars="350"/>
              <w:jc w:val="both"/>
              <w:rPr>
                <w:rFonts w:hint="eastAsia" w:ascii="Times New Roman" w:hAnsi="Times New Roman" w:eastAsia="宋体" w:cs="Times New Roman"/>
                <w:b/>
                <w:bCs/>
                <w:color w:val="333333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333333"/>
                <w:kern w:val="0"/>
                <w:sz w:val="28"/>
                <w:szCs w:val="28"/>
                <w:lang w:val="en-US" w:eastAsia="zh-CN"/>
              </w:rPr>
              <w:t>产品</w:t>
            </w:r>
          </w:p>
        </w:tc>
        <w:tc>
          <w:tcPr>
            <w:tcW w:w="234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pStyle w:val="11"/>
              <w:jc w:val="center"/>
              <w:rPr>
                <w:rFonts w:hint="default" w:ascii="Times New Roman" w:hAnsi="Times New Roman" w:eastAsia="宋体"/>
                <w:b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b/>
                <w:bCs/>
                <w:sz w:val="28"/>
                <w:szCs w:val="28"/>
              </w:rPr>
              <w:t>OX</w:t>
            </w: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AC</w:t>
            </w:r>
            <w:r>
              <w:rPr>
                <w:b/>
                <w:bCs/>
                <w:sz w:val="28"/>
                <w:szCs w:val="28"/>
              </w:rPr>
              <w:t>-</w:t>
            </w: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608</w:t>
            </w:r>
          </w:p>
        </w:tc>
        <w:tc>
          <w:tcPr>
            <w:tcW w:w="319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pStyle w:val="11"/>
              <w:jc w:val="center"/>
              <w:rPr>
                <w:rFonts w:hint="eastAsia" w:ascii="Times New Roman" w:hAnsi="Times New Roman" w:eastAsia="宋体"/>
                <w:b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b/>
                <w:bCs/>
                <w:color w:val="auto"/>
                <w:sz w:val="28"/>
                <w:szCs w:val="28"/>
                <w:lang w:val="en-US" w:eastAsia="zh-CN"/>
              </w:rPr>
              <w:t>检测标准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9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/>
                <w:bCs/>
                <w:color w:val="333333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333333"/>
                <w:kern w:val="0"/>
                <w:sz w:val="28"/>
                <w:szCs w:val="28"/>
                <w:lang w:val="en-US" w:eastAsia="zh-CN"/>
              </w:rPr>
              <w:t>外观（25℃）</w:t>
            </w:r>
          </w:p>
        </w:tc>
        <w:tc>
          <w:tcPr>
            <w:tcW w:w="234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  <w:lang w:val="en-US" w:eastAsia="zh-CN"/>
              </w:rPr>
              <w:t>白色片状</w:t>
            </w:r>
          </w:p>
        </w:tc>
        <w:tc>
          <w:tcPr>
            <w:tcW w:w="319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  <w:lang w:val="en-US" w:eastAsia="zh-CN"/>
              </w:rPr>
              <w:t>目测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9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ind w:firstLine="281" w:firstLineChars="100"/>
              <w:jc w:val="both"/>
              <w:rPr>
                <w:rFonts w:hint="eastAsia" w:ascii="Times New Roman" w:hAnsi="Times New Roman" w:cs="Times New Roman" w:eastAsiaTheme="minorEastAsia"/>
                <w:b/>
                <w:bCs/>
                <w:color w:val="333333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333333"/>
                <w:kern w:val="0"/>
                <w:sz w:val="28"/>
                <w:szCs w:val="28"/>
                <w:lang w:val="en-US" w:eastAsia="zh-CN"/>
              </w:rPr>
              <w:t>羟值（</w:t>
            </w:r>
            <w:r>
              <w:rPr>
                <w:rFonts w:hint="default" w:ascii="Times New Roman" w:hAnsi="Times New Roman"/>
                <w:sz w:val="28"/>
                <w:szCs w:val="28"/>
                <w:u w:val="none"/>
              </w:rPr>
              <w:t>mgKOH/</w:t>
            </w:r>
            <w:r>
              <w:rPr>
                <w:rFonts w:hint="default" w:ascii="Times New Roman" w:hAnsi="Times New Roman"/>
                <w:sz w:val="28"/>
                <w:szCs w:val="28"/>
              </w:rPr>
              <w:t>g</w:t>
            </w: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234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color w:val="333333"/>
                <w:kern w:val="0"/>
                <w:sz w:val="28"/>
                <w:szCs w:val="28"/>
                <w:lang w:val="en-US" w:eastAsia="zh-CN"/>
              </w:rPr>
              <w:t>22.0-25.0</w:t>
            </w:r>
          </w:p>
        </w:tc>
        <w:tc>
          <w:tcPr>
            <w:tcW w:w="319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color w:val="333333"/>
                <w:kern w:val="0"/>
                <w:sz w:val="28"/>
                <w:szCs w:val="28"/>
                <w:lang w:val="en-US" w:eastAsia="zh-CN"/>
              </w:rPr>
              <w:t>GB/T7383-2007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9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ind w:firstLine="281" w:firstLineChars="100"/>
              <w:jc w:val="both"/>
              <w:rPr>
                <w:rFonts w:hint="eastAsia" w:ascii="Times New Roman" w:hAnsi="Times New Roman" w:cs="Times New Roman" w:eastAsiaTheme="minorEastAsia"/>
                <w:b/>
                <w:bCs/>
                <w:color w:val="333333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333333"/>
                <w:kern w:val="0"/>
                <w:sz w:val="28"/>
                <w:szCs w:val="28"/>
                <w:lang w:val="en-US" w:eastAsia="zh-CN"/>
              </w:rPr>
              <w:t>碘值（</w:t>
            </w:r>
            <w:r>
              <w:rPr>
                <w:rFonts w:hint="default" w:ascii="Times New Roman" w:hAnsi="Times New Roman"/>
                <w:sz w:val="28"/>
                <w:szCs w:val="28"/>
              </w:rPr>
              <w:t>mgKOH/g</w:t>
            </w: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234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  <w:lang w:val="en-US" w:eastAsia="zh-CN"/>
              </w:rPr>
              <w:t>9.6</w:t>
            </w:r>
          </w:p>
        </w:tc>
        <w:tc>
          <w:tcPr>
            <w:tcW w:w="319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color w:val="333333"/>
                <w:kern w:val="0"/>
                <w:sz w:val="28"/>
                <w:szCs w:val="28"/>
                <w:lang w:val="en-US" w:eastAsia="zh-CN"/>
              </w:rPr>
              <w:t>GB/T13892-2012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9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jc w:val="both"/>
              <w:rPr>
                <w:rFonts w:hint="eastAsia" w:ascii="Times New Roman" w:hAnsi="Times New Roman" w:eastAsia="宋体" w:cs="Times New Roman"/>
                <w:b/>
                <w:bCs/>
                <w:color w:val="333333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333333"/>
                <w:kern w:val="0"/>
                <w:sz w:val="28"/>
                <w:szCs w:val="28"/>
                <w:lang w:val="en-US" w:eastAsia="zh-CN"/>
              </w:rPr>
              <w:t>PH值 （ 1％水溶液）</w:t>
            </w:r>
          </w:p>
        </w:tc>
        <w:tc>
          <w:tcPr>
            <w:tcW w:w="234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  <w:lang w:val="en-US" w:eastAsia="zh-CN"/>
              </w:rPr>
              <w:t>5.5-7.5</w:t>
            </w:r>
          </w:p>
        </w:tc>
        <w:tc>
          <w:tcPr>
            <w:tcW w:w="319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color w:val="333333"/>
                <w:kern w:val="0"/>
                <w:sz w:val="28"/>
                <w:szCs w:val="28"/>
                <w:lang w:val="en-US" w:eastAsia="zh-CN"/>
              </w:rPr>
              <w:t>GB/T 6368-2008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97" w:type="dxa"/>
            <w:tcBorders>
              <w:top w:val="single" w:color="auto" w:sz="4" w:space="0"/>
            </w:tcBorders>
            <w:noWrap w:val="0"/>
            <w:vAlign w:val="top"/>
          </w:tcPr>
          <w:p>
            <w:pPr>
              <w:jc w:val="both"/>
              <w:rPr>
                <w:rFonts w:hint="eastAsia" w:ascii="Times New Roman" w:hAnsi="Times New Roman" w:eastAsia="宋体" w:cs="Times New Roman"/>
                <w:b/>
                <w:bCs/>
                <w:color w:val="333333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333333"/>
                <w:kern w:val="0"/>
                <w:sz w:val="28"/>
                <w:szCs w:val="28"/>
                <w:lang w:val="en-US" w:eastAsia="zh-CN"/>
              </w:rPr>
              <w:t>双键保留率（％）（≥）</w:t>
            </w:r>
          </w:p>
        </w:tc>
        <w:tc>
          <w:tcPr>
            <w:tcW w:w="2340" w:type="dxa"/>
            <w:tcBorders>
              <w:top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  <w:lang w:val="en-US" w:eastAsia="zh-CN"/>
              </w:rPr>
              <w:t>93</w:t>
            </w:r>
          </w:p>
        </w:tc>
        <w:tc>
          <w:tcPr>
            <w:tcW w:w="3198" w:type="dxa"/>
            <w:tcBorders>
              <w:top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  <w:lang w:val="en-US" w:eastAsia="zh-CN"/>
              </w:rPr>
              <w:t>比值</w:t>
            </w:r>
          </w:p>
        </w:tc>
      </w:tr>
    </w:tbl>
    <w:p>
      <w:pPr>
        <w:widowControl/>
        <w:spacing w:before="100" w:beforeAutospacing="1" w:after="100" w:afterAutospacing="1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宋体" w:eastAsia="宋体" w:cs="Times New Roman"/>
          <w:b/>
          <w:bCs/>
          <w:color w:val="FF0000"/>
          <w:kern w:val="0"/>
          <w:sz w:val="28"/>
          <w:szCs w:val="28"/>
        </w:rPr>
        <w:t>包装规格：</w:t>
      </w:r>
      <w:r>
        <w:rPr>
          <w:rFonts w:ascii="Times New Roman" w:hAnsi="宋体" w:eastAsia="宋体" w:cs="Times New Roman"/>
          <w:color w:val="000000"/>
          <w:kern w:val="0"/>
          <w:sz w:val="28"/>
          <w:szCs w:val="28"/>
        </w:rPr>
        <w:t>片状产品采用</w:t>
      </w:r>
      <w:r>
        <w:rPr>
          <w:rFonts w:ascii="Times New Roman" w:hAnsi="Times New Roman" w:eastAsia="宋体" w:cs="Times New Roman"/>
          <w:color w:val="000000"/>
          <w:kern w:val="0"/>
          <w:sz w:val="28"/>
          <w:szCs w:val="28"/>
        </w:rPr>
        <w:t>25kg</w:t>
      </w:r>
      <w:r>
        <w:rPr>
          <w:rFonts w:ascii="Times New Roman" w:hAnsi="宋体" w:eastAsia="宋体" w:cs="Times New Roman"/>
          <w:color w:val="000000"/>
          <w:kern w:val="0"/>
          <w:sz w:val="28"/>
          <w:szCs w:val="28"/>
        </w:rPr>
        <w:t>复合塑料编织袋或纸袋包装；</w:t>
      </w:r>
    </w:p>
    <w:p>
      <w:pPr>
        <w:autoSpaceDE w:val="0"/>
        <w:autoSpaceDN w:val="0"/>
        <w:adjustRightInd w:val="0"/>
        <w:jc w:val="left"/>
        <w:rPr>
          <w:rFonts w:ascii="Times New Roman" w:hAnsi="Times New Roman" w:eastAsia="宋体" w:cs="Times New Roman"/>
          <w:color w:val="000000"/>
          <w:kern w:val="0"/>
          <w:sz w:val="28"/>
          <w:szCs w:val="28"/>
        </w:rPr>
      </w:pPr>
      <w:r>
        <w:rPr>
          <w:rFonts w:ascii="Times New Roman" w:hAnsi="宋体" w:eastAsia="宋体" w:cs="Times New Roman"/>
          <w:b/>
          <w:bCs/>
          <w:color w:val="FF0000"/>
          <w:kern w:val="0"/>
          <w:sz w:val="28"/>
          <w:szCs w:val="28"/>
        </w:rPr>
        <w:t>贮运条件：</w:t>
      </w:r>
      <w:r>
        <w:rPr>
          <w:rFonts w:ascii="Times New Roman" w:hAnsi="宋体" w:eastAsia="宋体" w:cs="Times New Roman"/>
          <w:color w:val="000000"/>
          <w:kern w:val="0"/>
          <w:sz w:val="28"/>
          <w:szCs w:val="28"/>
        </w:rPr>
        <w:t>本品无毒、难燃，可按一般化学品运输规定办理，严禁与氧化剂、还原剂、酸类物质、水等其他化学品混装储运。储存于干燥、阴凉、通风处，运输过程中避免阳光直接照射和雨淋，储存温度不宜高于</w:t>
      </w:r>
      <w:r>
        <w:rPr>
          <w:rFonts w:ascii="Times New Roman" w:hAnsi="Times New Roman" w:eastAsia="宋体" w:cs="Times New Roman"/>
          <w:color w:val="000000"/>
          <w:kern w:val="0"/>
          <w:sz w:val="28"/>
          <w:szCs w:val="28"/>
        </w:rPr>
        <w:t>40</w:t>
      </w:r>
      <w:r>
        <w:rPr>
          <w:rFonts w:ascii="Times New Roman" w:hAnsi="宋体" w:eastAsia="宋体" w:cs="Times New Roman"/>
          <w:color w:val="000000"/>
          <w:kern w:val="0"/>
          <w:sz w:val="28"/>
          <w:szCs w:val="28"/>
        </w:rPr>
        <w:t>℃。</w:t>
      </w:r>
      <w:r>
        <w:rPr>
          <w:rFonts w:ascii="Times New Roman" w:hAnsi="Times New Roman" w:eastAsia="宋体" w:cs="Times New Roman"/>
          <w:color w:val="000000"/>
          <w:kern w:val="0"/>
          <w:sz w:val="28"/>
          <w:szCs w:val="28"/>
        </w:rPr>
        <w:t xml:space="preserve"> </w:t>
      </w:r>
    </w:p>
    <w:p>
      <w:r>
        <w:rPr>
          <w:rFonts w:ascii="Times New Roman" w:hAnsi="宋体" w:eastAsia="宋体" w:cs="Times New Roman"/>
          <w:b/>
          <w:bCs/>
          <w:color w:val="FF0000"/>
          <w:kern w:val="0"/>
          <w:sz w:val="28"/>
          <w:szCs w:val="28"/>
        </w:rPr>
        <w:t>产品保质期：</w:t>
      </w:r>
      <w:r>
        <w:rPr>
          <w:rFonts w:ascii="Times New Roman" w:hAnsi="宋体" w:eastAsia="宋体" w:cs="Times New Roman"/>
          <w:kern w:val="0"/>
          <w:sz w:val="28"/>
          <w:szCs w:val="28"/>
        </w:rPr>
        <w:t>在规定的贮运条件下保质期</w:t>
      </w:r>
      <w:r>
        <w:rPr>
          <w:rFonts w:hint="eastAsia" w:ascii="Times New Roman" w:hAnsi="宋体" w:eastAsia="宋体" w:cs="Times New Roman"/>
          <w:kern w:val="0"/>
          <w:sz w:val="28"/>
          <w:szCs w:val="28"/>
          <w:lang w:val="en-US" w:eastAsia="zh-CN"/>
        </w:rPr>
        <w:t>6</w:t>
      </w:r>
      <w:r>
        <w:rPr>
          <w:rFonts w:ascii="Times New Roman" w:hAnsi="宋体" w:eastAsia="宋体" w:cs="Times New Roman"/>
          <w:kern w:val="0"/>
          <w:sz w:val="28"/>
          <w:szCs w:val="28"/>
        </w:rPr>
        <w:t>个月。</w:t>
      </w:r>
    </w:p>
    <w:p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left"/>
      <w:rPr>
        <w:rFonts w:hint="eastAsia" w:ascii="楷体" w:hAnsi="楷体" w:eastAsia="楷体" w:cs="楷体"/>
        <w:color w:val="002060"/>
        <w:sz w:val="21"/>
        <w:szCs w:val="21"/>
        <w:lang w:val="en-US" w:eastAsia="zh-CN"/>
      </w:rPr>
    </w:pPr>
    <w:r>
      <w:rPr>
        <w:rFonts w:hint="eastAsia" w:ascii="宋体" w:hAnsi="宋体"/>
        <w:sz w:val="28"/>
        <w:szCs w:val="28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28575</wp:posOffset>
          </wp:positionH>
          <wp:positionV relativeFrom="paragraph">
            <wp:posOffset>-160020</wp:posOffset>
          </wp:positionV>
          <wp:extent cx="533400" cy="533400"/>
          <wp:effectExtent l="0" t="0" r="0" b="0"/>
          <wp:wrapNone/>
          <wp:docPr id="2" name="Picture 4" descr="奥克图标_招股书用_无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4" descr="奥克图标_招股书用_无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33400" cy="533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hint="eastAsia" w:ascii="宋体" w:hAnsi="宋体"/>
        <w:sz w:val="28"/>
        <w:szCs w:val="28"/>
        <w:lang w:val="en-US" w:eastAsia="zh-CN"/>
      </w:rPr>
      <w:t xml:space="preserve">                                              </w:t>
    </w:r>
    <w:r>
      <w:rPr>
        <w:rFonts w:hint="eastAsia" w:ascii="楷体" w:hAnsi="楷体" w:eastAsia="楷体" w:cs="楷体"/>
        <w:color w:val="002060"/>
        <w:sz w:val="21"/>
        <w:szCs w:val="21"/>
        <w:lang w:val="en-US" w:eastAsia="zh-CN"/>
      </w:rPr>
      <w:t xml:space="preserve">共创共享  </w:t>
    </w:r>
  </w:p>
  <w:p>
    <w:pPr>
      <w:pStyle w:val="2"/>
      <w:ind w:firstLine="1050" w:firstLineChars="500"/>
      <w:jc w:val="left"/>
      <w:rPr>
        <w:rFonts w:hint="default" w:ascii="楷体" w:hAnsi="楷体" w:eastAsia="楷体" w:cs="楷体"/>
        <w:sz w:val="24"/>
        <w:szCs w:val="24"/>
        <w:lang w:val="en-US" w:eastAsia="zh-CN"/>
      </w:rPr>
    </w:pPr>
    <w:r>
      <w:rPr>
        <w:rFonts w:hint="eastAsia" w:ascii="楷体" w:hAnsi="楷体" w:eastAsia="楷体" w:cs="楷体"/>
        <w:color w:val="002060"/>
        <w:sz w:val="21"/>
        <w:szCs w:val="21"/>
        <w:lang w:val="en-US" w:eastAsia="zh-CN"/>
      </w:rPr>
      <w:t>OXRIAN Chemical Company                                     共和共荣</w:t>
    </w:r>
    <w:r>
      <w:rPr>
        <w:rFonts w:hint="eastAsia" w:ascii="楷体" w:hAnsi="楷体" w:eastAsia="楷体" w:cs="楷体"/>
        <w:color w:val="4472C4" w:themeColor="accent5"/>
        <w:sz w:val="21"/>
        <w:szCs w:val="21"/>
        <w:lang w:val="en-US" w:eastAsia="zh-CN"/>
        <w14:textFill>
          <w14:solidFill>
            <w14:schemeClr w14:val="accent5"/>
          </w14:solidFill>
        </w14:textFill>
      </w:rPr>
      <w:t xml:space="preserve"> </w:t>
    </w:r>
    <w:r>
      <w:rPr>
        <w:rFonts w:hint="eastAsia" w:ascii="宋体" w:hAnsi="宋体"/>
        <w:sz w:val="28"/>
        <w:szCs w:val="28"/>
        <w:lang w:val="en-US" w:eastAsia="zh-CN"/>
      </w:rPr>
      <w:t xml:space="preserve">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E3B1B"/>
    <w:rsid w:val="0E696A69"/>
    <w:rsid w:val="128C2484"/>
    <w:rsid w:val="176B3D48"/>
    <w:rsid w:val="30451807"/>
    <w:rsid w:val="475E2691"/>
    <w:rsid w:val="4ACE21C2"/>
    <w:rsid w:val="51DE54EA"/>
    <w:rsid w:val="7BB652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Office_11.3.0.8775_F1E327BC-269C-435d-A152-05C5408002CA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2021-05-13T01:03:00Z</dcterms:created>
  <dc:creator>jyp13</dc:creator>
  <cp:lastModifiedBy>爱在下一光年</cp:lastModifiedBy>
  <dcterms:modified xsi:type="dcterms:W3CDTF">2021-05-24T08:19:32Z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2052-11.3.0.8775</vt:lpwstr>
  </property>
</Properties>
</file>